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"/>
        <w:rPr>
          <w:rFonts w:ascii="Times New Roman"/>
          <w:i w:val="0"/>
          <w:sz w:val="8"/>
        </w:rPr>
      </w:pPr>
    </w:p>
    <w:p>
      <w:pPr>
        <w:pStyle w:val="BodyText"/>
        <w:ind w:left="3312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mc:AlternateContent>
          <mc:Choice Requires="wps">
            <w:drawing>
              <wp:inline distT="0" distB="0" distL="0" distR="0">
                <wp:extent cx="1757680" cy="402590"/>
                <wp:effectExtent l="0" t="0" r="0" b="698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757680" cy="402590"/>
                          <a:chExt cx="1757680" cy="40259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418" y="0"/>
                            <a:ext cx="1394053" cy="401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328"/>
                            <a:ext cx="325856" cy="3352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38.4pt;height:31.7pt;mso-position-horizontal-relative:char;mso-position-vertical-relative:line" id="docshapegroup3" coordorigin="0,0" coordsize="2768,634">
                <v:shape style="position:absolute;left:572;top:0;width:2196;height:634" type="#_x0000_t75" id="docshape4" stroked="false">
                  <v:imagedata r:id="rId7" o:title=""/>
                </v:shape>
                <v:shape style="position:absolute;left:0;top:88;width:514;height:528" type="#_x0000_t75" id="docshape5" stroked="false">
                  <v:imagedata r:id="rId8" o:title=""/>
                </v:shape>
              </v:group>
            </w:pict>
          </mc:Fallback>
        </mc:AlternateContent>
      </w:r>
      <w:r>
        <w:rPr>
          <w:rFonts w:ascii="Times New Roman"/>
          <w:i w:val="0"/>
          <w:sz w:val="20"/>
        </w:rPr>
      </w:r>
    </w:p>
    <w:p>
      <w:pPr>
        <w:pStyle w:val="BodyText"/>
        <w:spacing w:before="254"/>
        <w:rPr>
          <w:rFonts w:ascii="Times New Roman"/>
          <w:i w:val="0"/>
          <w:sz w:val="64"/>
        </w:rPr>
      </w:pPr>
    </w:p>
    <w:p>
      <w:pPr>
        <w:pStyle w:val="Title"/>
      </w:pPr>
      <w:r>
        <w:rPr>
          <w:color w:val="5291CE"/>
        </w:rPr>
        <w:t>Charte</w:t>
      </w:r>
      <w:r>
        <w:rPr>
          <w:color w:val="5291CE"/>
          <w:spacing w:val="-25"/>
        </w:rPr>
        <w:t> </w:t>
      </w:r>
      <w:r>
        <w:rPr>
          <w:color w:val="5291CE"/>
        </w:rPr>
        <w:t>des</w:t>
      </w:r>
      <w:r>
        <w:rPr>
          <w:color w:val="5291CE"/>
          <w:spacing w:val="-25"/>
        </w:rPr>
        <w:t> </w:t>
      </w:r>
      <w:r>
        <w:rPr>
          <w:color w:val="5291CE"/>
        </w:rPr>
        <w:t>établissements</w:t>
      </w:r>
      <w:r>
        <w:rPr>
          <w:color w:val="5291CE"/>
          <w:spacing w:val="-25"/>
        </w:rPr>
        <w:t> </w:t>
      </w:r>
      <w:r>
        <w:rPr>
          <w:color w:val="5291CE"/>
        </w:rPr>
        <w:t>de</w:t>
      </w:r>
      <w:r>
        <w:rPr>
          <w:color w:val="5291CE"/>
          <w:spacing w:val="-25"/>
        </w:rPr>
        <w:t> </w:t>
      </w:r>
      <w:r>
        <w:rPr>
          <w:color w:val="5291CE"/>
        </w:rPr>
        <w:t>restauration commerciale engagés en faveur de la </w:t>
      </w:r>
      <w:r>
        <w:rPr>
          <w:color w:val="57802E"/>
        </w:rPr>
        <w:t>lutte contre le gaspillage alimentaire</w:t>
      </w:r>
    </w:p>
    <w:p>
      <w:pPr>
        <w:pStyle w:val="BodyText"/>
        <w:spacing w:before="352"/>
        <w:rPr>
          <w:rFonts w:ascii="Bebas Neue"/>
          <w:b/>
          <w:i w:val="0"/>
          <w:sz w:val="64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color w:val="1D1D1B"/>
          <w:sz w:val="18"/>
        </w:rPr>
        <w:t>Chaque année, en France, environ 8,8 millions de tonnes de produits alimentaires sont </w:t>
      </w:r>
      <w:r>
        <w:rPr>
          <w:color w:val="1D1D1B"/>
          <w:sz w:val="18"/>
        </w:rPr>
        <w:t>jetées pour un impact environnemental néfaste combinant des émissions de gaz à effet de serre et prélèvements inutiles de ressources.</w:t>
      </w:r>
    </w:p>
    <w:p>
      <w:pPr>
        <w:spacing w:line="240" w:lineRule="auto" w:before="60"/>
        <w:rPr>
          <w:sz w:val="18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1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acteurs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restauration</w:t>
      </w:r>
      <w:r>
        <w:rPr>
          <w:rFonts w:ascii="Gotham" w:hAnsi="Gotham"/>
          <w:b/>
          <w:color w:val="1D1D1B"/>
          <w:spacing w:val="-1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commerciale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color w:val="1D1D1B"/>
          <w:sz w:val="18"/>
        </w:rPr>
        <w:t>sont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concernés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puisque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leurs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activités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génèrent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une partie de ce gaspillage alimentaire selon les estimations d’EUROSTAT de 2023.</w:t>
      </w:r>
    </w:p>
    <w:p>
      <w:pPr>
        <w:spacing w:line="240" w:lineRule="auto" w:before="117"/>
        <w:rPr>
          <w:sz w:val="18"/>
        </w:rPr>
      </w:pPr>
    </w:p>
    <w:p>
      <w:pPr>
        <w:spacing w:line="244" w:lineRule="auto" w:before="0"/>
        <w:ind w:left="500" w:right="0" w:hanging="1"/>
        <w:jc w:val="left"/>
        <w:rPr>
          <w:sz w:val="18"/>
        </w:rPr>
      </w:pPr>
      <w:r>
        <w:rPr>
          <w:color w:val="1D1D1B"/>
          <w:sz w:val="18"/>
        </w:rPr>
        <w:t>Depuis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1</w:t>
      </w:r>
      <w:r>
        <w:rPr>
          <w:color w:val="1D1D1B"/>
          <w:position w:val="6"/>
          <w:sz w:val="10"/>
        </w:rPr>
        <w:t>er</w:t>
      </w:r>
      <w:r>
        <w:rPr>
          <w:color w:val="1D1D1B"/>
          <w:spacing w:val="13"/>
          <w:position w:val="6"/>
          <w:sz w:val="10"/>
        </w:rPr>
        <w:t> </w:t>
      </w:r>
      <w:r>
        <w:rPr>
          <w:color w:val="1D1D1B"/>
          <w:sz w:val="18"/>
        </w:rPr>
        <w:t>juillet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2021,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restaurateurs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ont</w:t>
      </w:r>
      <w:r>
        <w:rPr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l’obligation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mise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disposition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contenants réutilisables ou recyclables pour emporter les restes </w:t>
      </w:r>
      <w:r>
        <w:rPr>
          <w:color w:val="1D1D1B"/>
          <w:sz w:val="18"/>
        </w:rPr>
        <w:t>(« emportes restes »).</w:t>
      </w:r>
    </w:p>
    <w:p>
      <w:pPr>
        <w:spacing w:line="240" w:lineRule="auto" w:before="116"/>
        <w:rPr>
          <w:sz w:val="18"/>
        </w:rPr>
      </w:pPr>
    </w:p>
    <w:p>
      <w:pPr>
        <w:spacing w:line="252" w:lineRule="auto" w:before="1"/>
        <w:ind w:left="500" w:right="498" w:firstLine="0"/>
        <w:jc w:val="both"/>
        <w:rPr>
          <w:rFonts w:ascii="Gotham" w:hAnsi="Gotham"/>
          <w:b/>
          <w:sz w:val="18"/>
        </w:rPr>
      </w:pPr>
      <w:r>
        <w:rPr>
          <w:color w:val="1D1D1B"/>
          <w:sz w:val="18"/>
        </w:rPr>
        <w:t>La Région Île-de-France a fixé, en déclinaison des réglementations nationales et européennes, des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objectifs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régionaux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lutter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: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il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s’agit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 alimentaire en 2025 et de 60 % en 2031 par rapport à 2013.</w:t>
      </w:r>
    </w:p>
    <w:p>
      <w:pPr>
        <w:pStyle w:val="BodyText"/>
        <w:spacing w:before="75"/>
        <w:rPr>
          <w:rFonts w:ascii="Gotham"/>
          <w:b/>
          <w:i w:val="0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color w:val="1D1D1B"/>
          <w:sz w:val="18"/>
        </w:rPr>
        <w:t>Pour atteindre ces objectifs régionaux, </w:t>
      </w:r>
      <w:r>
        <w:rPr>
          <w:rFonts w:ascii="Gotham" w:hAnsi="Gotham"/>
          <w:b/>
          <w:color w:val="1D1D1B"/>
          <w:sz w:val="18"/>
        </w:rPr>
        <w:t>la Région Île-de-France et les collectivités agissent pour limiter les pertes et le gaspillage et favoriser la lutte contre la précarité alimentaire</w:t>
      </w:r>
      <w:r>
        <w:rPr>
          <w:color w:val="1D1D1B"/>
          <w:sz w:val="18"/>
        </w:rPr>
        <w:t>. La présente charte vise à mobiliser et engager les acteurs de la restauration commerciale, </w:t>
      </w:r>
      <w:r>
        <w:rPr>
          <w:color w:val="1D1D1B"/>
          <w:sz w:val="18"/>
        </w:rPr>
        <w:t>au-delà de la règlementation en vigueur, dans des actions de lutte contre le gaspillage alimentaire.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63"/>
        <w:rPr>
          <w:sz w:val="18"/>
        </w:rPr>
      </w:pPr>
    </w:p>
    <w:p>
      <w:pPr>
        <w:tabs>
          <w:tab w:pos="5809" w:val="left" w:leader="dot"/>
        </w:tabs>
        <w:spacing w:before="0"/>
        <w:ind w:left="500" w:right="0" w:firstLine="0"/>
        <w:jc w:val="left"/>
        <w:rPr>
          <w:sz w:val="18"/>
        </w:rPr>
      </w:pPr>
      <w:r>
        <w:rPr>
          <w:color w:val="1D1D1B"/>
          <w:spacing w:val="-10"/>
          <w:sz w:val="18"/>
        </w:rPr>
        <w:t>…</w:t>
      </w:r>
      <w:r>
        <w:rPr>
          <w:color w:val="1D1D1B"/>
          <w:sz w:val="18"/>
        </w:rPr>
        <w:tab/>
      </w:r>
      <w:r>
        <w:rPr>
          <w:i/>
          <w:color w:val="1D1D1B"/>
          <w:sz w:val="18"/>
        </w:rPr>
        <w:t>(nom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color w:val="1D1D1B"/>
          <w:sz w:val="18"/>
        </w:rPr>
        <w:t>,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mobilise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5"/>
          <w:sz w:val="18"/>
        </w:rPr>
        <w:t>les</w:t>
      </w:r>
    </w:p>
    <w:p>
      <w:pPr>
        <w:spacing w:before="4"/>
        <w:ind w:left="500" w:right="0" w:firstLine="0"/>
        <w:jc w:val="left"/>
        <w:rPr>
          <w:sz w:val="18"/>
        </w:rPr>
      </w:pPr>
      <w:r>
        <w:rPr>
          <w:color w:val="1D1D1B"/>
          <w:sz w:val="18"/>
        </w:rPr>
        <w:t>acteurs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restauration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commerciale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réduire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sur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son</w:t>
      </w:r>
      <w:r>
        <w:rPr>
          <w:color w:val="1D1D1B"/>
          <w:spacing w:val="-2"/>
          <w:sz w:val="18"/>
        </w:rPr>
        <w:t> territoire.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69"/>
        <w:rPr>
          <w:sz w:val="18"/>
        </w:rPr>
      </w:pPr>
    </w:p>
    <w:p>
      <w:pPr>
        <w:spacing w:before="0"/>
        <w:ind w:left="500" w:right="0" w:firstLine="0"/>
        <w:jc w:val="left"/>
        <w:rPr>
          <w:sz w:val="18"/>
        </w:rPr>
      </w:pPr>
      <w:r>
        <w:rPr>
          <w:color w:val="1D1D1B"/>
          <w:spacing w:val="-2"/>
          <w:sz w:val="18"/>
        </w:rPr>
        <w:t>……………………………………...............................………………………………………………....................………........................</w:t>
      </w:r>
    </w:p>
    <w:p>
      <w:pPr>
        <w:spacing w:before="4"/>
        <w:ind w:left="500" w:right="0" w:firstLine="0"/>
        <w:jc w:val="left"/>
        <w:rPr>
          <w:sz w:val="18"/>
        </w:rPr>
      </w:pPr>
      <w:r>
        <w:rPr>
          <w:i/>
          <w:color w:val="1D1D1B"/>
          <w:spacing w:val="-2"/>
          <w:sz w:val="18"/>
        </w:rPr>
        <w:t>(nom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2"/>
          <w:sz w:val="18"/>
        </w:rPr>
        <w:t>de</w:t>
      </w:r>
      <w:r>
        <w:rPr>
          <w:i/>
          <w:color w:val="1D1D1B"/>
          <w:spacing w:val="1"/>
          <w:sz w:val="18"/>
        </w:rPr>
        <w:t> </w:t>
      </w:r>
      <w:r>
        <w:rPr>
          <w:i/>
          <w:color w:val="1D1D1B"/>
          <w:spacing w:val="-2"/>
          <w:sz w:val="18"/>
        </w:rPr>
        <w:t>l’établissement</w:t>
      </w:r>
      <w:r>
        <w:rPr>
          <w:i/>
          <w:color w:val="1D1D1B"/>
          <w:spacing w:val="1"/>
          <w:sz w:val="18"/>
        </w:rPr>
        <w:t> </w:t>
      </w:r>
      <w:r>
        <w:rPr>
          <w:i/>
          <w:color w:val="1D1D1B"/>
          <w:spacing w:val="-2"/>
          <w:sz w:val="18"/>
        </w:rPr>
        <w:t>de</w:t>
      </w:r>
      <w:r>
        <w:rPr>
          <w:i/>
          <w:color w:val="1D1D1B"/>
          <w:spacing w:val="1"/>
          <w:sz w:val="18"/>
        </w:rPr>
        <w:t> </w:t>
      </w:r>
      <w:r>
        <w:rPr>
          <w:i/>
          <w:color w:val="1D1D1B"/>
          <w:spacing w:val="-2"/>
          <w:sz w:val="18"/>
        </w:rPr>
        <w:t>restauration</w:t>
      </w:r>
      <w:r>
        <w:rPr>
          <w:i/>
          <w:color w:val="1D1D1B"/>
          <w:spacing w:val="1"/>
          <w:sz w:val="18"/>
        </w:rPr>
        <w:t> </w:t>
      </w:r>
      <w:r>
        <w:rPr>
          <w:i/>
          <w:color w:val="1D1D1B"/>
          <w:spacing w:val="-2"/>
          <w:sz w:val="18"/>
        </w:rPr>
        <w:t>commerciale)</w:t>
      </w:r>
      <w:r>
        <w:rPr>
          <w:color w:val="1D1D1B"/>
          <w:spacing w:val="-2"/>
          <w:sz w:val="18"/>
        </w:rPr>
        <w:t>,</w:t>
      </w:r>
      <w:r>
        <w:rPr>
          <w:color w:val="1D1D1B"/>
          <w:spacing w:val="1"/>
          <w:sz w:val="18"/>
        </w:rPr>
        <w:t> </w:t>
      </w:r>
      <w:r>
        <w:rPr>
          <w:color w:val="1D1D1B"/>
          <w:spacing w:val="-2"/>
          <w:sz w:val="18"/>
        </w:rPr>
        <w:t>en</w:t>
      </w:r>
      <w:r>
        <w:rPr>
          <w:color w:val="1D1D1B"/>
          <w:spacing w:val="1"/>
          <w:sz w:val="18"/>
        </w:rPr>
        <w:t> </w:t>
      </w:r>
      <w:r>
        <w:rPr>
          <w:color w:val="1D1D1B"/>
          <w:spacing w:val="-2"/>
          <w:sz w:val="18"/>
        </w:rPr>
        <w:t>partenariat</w:t>
      </w:r>
      <w:r>
        <w:rPr>
          <w:color w:val="1D1D1B"/>
          <w:spacing w:val="1"/>
          <w:sz w:val="18"/>
        </w:rPr>
        <w:t> </w:t>
      </w:r>
      <w:r>
        <w:rPr>
          <w:color w:val="1D1D1B"/>
          <w:spacing w:val="-2"/>
          <w:sz w:val="18"/>
        </w:rPr>
        <w:t>avec</w:t>
      </w:r>
      <w:r>
        <w:rPr>
          <w:color w:val="1D1D1B"/>
          <w:spacing w:val="1"/>
          <w:sz w:val="18"/>
        </w:rPr>
        <w:t> </w:t>
      </w:r>
      <w:r>
        <w:rPr>
          <w:color w:val="1D1D1B"/>
          <w:spacing w:val="-2"/>
          <w:sz w:val="18"/>
        </w:rPr>
        <w:t>........………………………………</w:t>
      </w:r>
    </w:p>
    <w:p>
      <w:pPr>
        <w:tabs>
          <w:tab w:pos="3081" w:val="left" w:leader="dot"/>
        </w:tabs>
        <w:spacing w:before="4"/>
        <w:ind w:left="500" w:right="0" w:firstLine="0"/>
        <w:jc w:val="left"/>
        <w:rPr>
          <w:rFonts w:ascii="Gotham" w:hAnsi="Gotham"/>
          <w:b/>
          <w:sz w:val="18"/>
        </w:rPr>
      </w:pPr>
      <w:r>
        <w:rPr>
          <w:color w:val="1D1D1B"/>
          <w:spacing w:val="-10"/>
          <w:sz w:val="18"/>
        </w:rPr>
        <w:t>…</w:t>
      </w:r>
      <w:r>
        <w:rPr>
          <w:color w:val="1D1D1B"/>
          <w:sz w:val="18"/>
        </w:rPr>
        <w:tab/>
        <w:t>(</w:t>
      </w:r>
      <w:r>
        <w:rPr>
          <w:i/>
          <w:color w:val="1D1D1B"/>
          <w:sz w:val="18"/>
        </w:rPr>
        <w:t>nom</w:t>
      </w:r>
      <w:r>
        <w:rPr>
          <w:i/>
          <w:color w:val="1D1D1B"/>
          <w:spacing w:val="-1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i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s’engage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mener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actions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relevant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pacing w:val="-5"/>
          <w:sz w:val="18"/>
        </w:rPr>
        <w:t>des</w:t>
      </w:r>
    </w:p>
    <w:p>
      <w:pPr>
        <w:spacing w:before="16"/>
        <w:ind w:left="500" w:right="0" w:firstLine="0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leviers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d’intervention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décrits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ci-après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pacing w:val="-10"/>
          <w:sz w:val="18"/>
        </w:rPr>
        <w:t>:</w:t>
      </w:r>
    </w:p>
    <w:p>
      <w:pPr>
        <w:spacing w:after="0"/>
        <w:jc w:val="left"/>
        <w:rPr>
          <w:rFonts w:ascii="Gotham" w:hAnsi="Gotham"/>
          <w:sz w:val="18"/>
        </w:rPr>
        <w:sectPr>
          <w:headerReference w:type="default" r:id="rId5"/>
          <w:footerReference w:type="default" r:id="rId6"/>
          <w:type w:val="continuous"/>
          <w:pgSz w:w="11910" w:h="16840"/>
          <w:pgMar w:header="850" w:footer="650" w:top="1540" w:bottom="840" w:left="1200" w:right="1200"/>
          <w:pgNumType w:start="1"/>
        </w:sectPr>
      </w:pPr>
    </w:p>
    <w:p>
      <w:pPr>
        <w:pStyle w:val="Heading1"/>
        <w:spacing w:before="142"/>
      </w:pPr>
      <w:r>
        <w:rPr>
          <w:color w:val="57802E"/>
        </w:rPr>
        <w:t>Contribuer</w:t>
      </w:r>
      <w:r>
        <w:rPr>
          <w:color w:val="57802E"/>
          <w:spacing w:val="40"/>
        </w:rPr>
        <w:t> </w:t>
      </w:r>
      <w:r>
        <w:rPr>
          <w:color w:val="57802E"/>
        </w:rPr>
        <w:t>à</w:t>
      </w:r>
      <w:r>
        <w:rPr>
          <w:color w:val="57802E"/>
          <w:spacing w:val="40"/>
        </w:rPr>
        <w:t> </w:t>
      </w:r>
      <w:r>
        <w:rPr>
          <w:color w:val="57802E"/>
        </w:rPr>
        <w:t>l’atteinte</w:t>
      </w:r>
      <w:r>
        <w:rPr>
          <w:color w:val="57802E"/>
          <w:spacing w:val="40"/>
        </w:rPr>
        <w:t> </w:t>
      </w:r>
      <w:r>
        <w:rPr>
          <w:color w:val="57802E"/>
        </w:rPr>
        <w:t>des</w:t>
      </w:r>
      <w:r>
        <w:rPr>
          <w:color w:val="57802E"/>
          <w:spacing w:val="40"/>
        </w:rPr>
        <w:t> </w:t>
      </w:r>
      <w:r>
        <w:rPr>
          <w:color w:val="57802E"/>
        </w:rPr>
        <w:t>objectifs</w:t>
      </w:r>
      <w:r>
        <w:rPr>
          <w:color w:val="57802E"/>
          <w:spacing w:val="40"/>
        </w:rPr>
        <w:t> </w:t>
      </w:r>
      <w:r>
        <w:rPr>
          <w:color w:val="57802E"/>
        </w:rPr>
        <w:t>régionaux</w:t>
      </w:r>
      <w:r>
        <w:rPr>
          <w:color w:val="57802E"/>
          <w:spacing w:val="40"/>
        </w:rPr>
        <w:t> </w:t>
      </w:r>
      <w:r>
        <w:rPr>
          <w:color w:val="57802E"/>
        </w:rPr>
        <w:t>en</w:t>
      </w:r>
      <w:r>
        <w:rPr>
          <w:color w:val="57802E"/>
          <w:spacing w:val="40"/>
        </w:rPr>
        <w:t> </w:t>
      </w:r>
      <w:r>
        <w:rPr>
          <w:color w:val="57802E"/>
        </w:rPr>
        <w:t>matière</w:t>
      </w:r>
      <w:r>
        <w:rPr>
          <w:color w:val="57802E"/>
          <w:spacing w:val="40"/>
        </w:rPr>
        <w:t> </w:t>
      </w:r>
      <w:r>
        <w:rPr>
          <w:color w:val="57802E"/>
        </w:rPr>
        <w:t>de</w:t>
      </w:r>
      <w:r>
        <w:rPr>
          <w:color w:val="57802E"/>
          <w:spacing w:val="40"/>
        </w:rPr>
        <w:t> </w:t>
      </w:r>
      <w:r>
        <w:rPr>
          <w:color w:val="57802E"/>
        </w:rPr>
        <w:t>lutte contre</w:t>
      </w:r>
      <w:r>
        <w:rPr>
          <w:color w:val="57802E"/>
          <w:spacing w:val="40"/>
        </w:rPr>
        <w:t> </w:t>
      </w:r>
      <w:r>
        <w:rPr>
          <w:color w:val="57802E"/>
        </w:rPr>
        <w:t>le</w:t>
      </w:r>
      <w:r>
        <w:rPr>
          <w:color w:val="57802E"/>
          <w:spacing w:val="40"/>
        </w:rPr>
        <w:t> </w:t>
      </w:r>
      <w:r>
        <w:rPr>
          <w:color w:val="57802E"/>
        </w:rPr>
        <w:t>gaspillage</w:t>
      </w:r>
      <w:r>
        <w:rPr>
          <w:color w:val="57802E"/>
          <w:spacing w:val="40"/>
        </w:rPr>
        <w:t> </w:t>
      </w:r>
      <w:r>
        <w:rPr>
          <w:color w:val="57802E"/>
        </w:rPr>
        <w:t>alimentaire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  <w:tab w:pos="470" w:val="left" w:leader="none"/>
        </w:tabs>
        <w:spacing w:line="232" w:lineRule="auto" w:before="58" w:after="0"/>
        <w:ind w:left="470" w:right="328" w:hanging="140"/>
        <w:jc w:val="both"/>
        <w:rPr>
          <w:i/>
          <w:sz w:val="18"/>
        </w:rPr>
      </w:pP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alimentaire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d’ici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2025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60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2031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par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rapport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2013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color w:val="1D1D1B"/>
          <w:sz w:val="18"/>
        </w:rPr>
        <w:t>tel qu’inscrit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Plan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Régional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Prévention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Gestion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Déchets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d’Île-de-France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(PRPGD) </w:t>
      </w:r>
      <w:r>
        <w:rPr>
          <w:i/>
          <w:color w:val="1D1D1B"/>
          <w:sz w:val="18"/>
        </w:rPr>
        <w:t>voté en novembre 2019. Les actions prévues dans le cadre de la Stratégie Régionale d’Economie Circulaire (SREC) et du Plan Régional pour une Alimentation locale, durable et solidaire (PRA) contribuent à l’atteinte de cet objectif. Il est également national puisque la Loi AGEC prévoit la réduction du gaspillage alimentaire de 50 % en 2025 par rapport à 2015.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123" w:after="0"/>
        <w:ind w:left="465" w:right="0" w:hanging="135"/>
        <w:jc w:val="both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Participer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 la diffusion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 bonnes </w:t>
      </w:r>
      <w:r>
        <w:rPr>
          <w:rFonts w:ascii="Gotham" w:hAnsi="Gotham"/>
          <w:b/>
          <w:color w:val="1D1D1B"/>
          <w:spacing w:val="-2"/>
          <w:sz w:val="18"/>
        </w:rPr>
        <w:t>pratiques</w:t>
      </w:r>
    </w:p>
    <w:p>
      <w:pPr>
        <w:pStyle w:val="BodyText"/>
        <w:spacing w:before="127"/>
        <w:rPr>
          <w:rFonts w:ascii="Gotham"/>
          <w:b/>
          <w:i w:val="0"/>
        </w:rPr>
      </w:pPr>
    </w:p>
    <w:p>
      <w:pPr>
        <w:pStyle w:val="Heading1"/>
        <w:ind w:right="2171"/>
      </w:pPr>
      <w:r>
        <w:rPr>
          <w:color w:val="57802E"/>
        </w:rPr>
        <w:t>Sensibiliser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mobiliser</w:t>
      </w:r>
      <w:r>
        <w:rPr>
          <w:color w:val="57802E"/>
          <w:spacing w:val="40"/>
        </w:rPr>
        <w:t> </w:t>
      </w:r>
      <w:r>
        <w:rPr>
          <w:color w:val="57802E"/>
        </w:rPr>
        <w:t>son</w:t>
      </w:r>
      <w:r>
        <w:rPr>
          <w:color w:val="57802E"/>
          <w:spacing w:val="40"/>
        </w:rPr>
        <w:t> </w:t>
      </w:r>
      <w:r>
        <w:rPr>
          <w:color w:val="57802E"/>
        </w:rPr>
        <w:t>personnel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sa</w:t>
      </w:r>
      <w:r>
        <w:rPr>
          <w:color w:val="57802E"/>
          <w:spacing w:val="40"/>
        </w:rPr>
        <w:t> </w:t>
      </w:r>
      <w:r>
        <w:rPr>
          <w:color w:val="57802E"/>
        </w:rPr>
        <w:t>clientèle à une culture anti-gaspi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</w:tabs>
        <w:spacing w:line="240" w:lineRule="auto" w:before="63" w:after="0"/>
        <w:ind w:left="469" w:right="0" w:hanging="139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Former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agents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ou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personnel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wà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limiter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1"/>
        </w:numPr>
        <w:tabs>
          <w:tab w:pos="922" w:val="left" w:leader="none"/>
        </w:tabs>
        <w:spacing w:line="232" w:lineRule="auto" w:before="57" w:after="0"/>
        <w:ind w:left="784" w:right="327" w:firstLine="0"/>
        <w:jc w:val="both"/>
        <w:rPr>
          <w:i/>
          <w:sz w:val="18"/>
        </w:rPr>
      </w:pPr>
      <w:r>
        <w:rPr>
          <w:i/>
          <w:color w:val="1D1D1B"/>
          <w:spacing w:val="-2"/>
          <w:sz w:val="18"/>
        </w:rPr>
        <w:t>Former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régulièrement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l’ensemble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du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personnel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démarche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anti-gaspi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mise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place,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diffuser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bonnes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pratiques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(achats,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préparation,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gestion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des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invendus,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dons,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etc.)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et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résultats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(afficher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chiffres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clés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objectifs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bureaux,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cuisines,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espaces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stockage…)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470" w:val="left" w:leader="none"/>
        </w:tabs>
        <w:spacing w:line="232" w:lineRule="auto" w:before="58" w:after="0"/>
        <w:ind w:left="470" w:right="329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Sensibiliser la clientèle </w:t>
      </w:r>
      <w:r>
        <w:rPr>
          <w:color w:val="1D1D1B"/>
          <w:sz w:val="18"/>
        </w:rPr>
        <w:t>sur la possibilité de demander un emporte restes et sur les modalités de préparation utilisant l’entièreté du produit</w:t>
      </w:r>
    </w:p>
    <w:p>
      <w:pPr>
        <w:spacing w:line="240" w:lineRule="auto" w:before="106"/>
        <w:rPr>
          <w:sz w:val="18"/>
        </w:rPr>
      </w:pPr>
    </w:p>
    <w:p>
      <w:pPr>
        <w:pStyle w:val="Heading1"/>
      </w:pPr>
      <w:r>
        <w:rPr>
          <w:color w:val="57802E"/>
        </w:rPr>
        <w:t>Agir</w:t>
      </w:r>
      <w:r>
        <w:rPr>
          <w:color w:val="57802E"/>
          <w:spacing w:val="27"/>
        </w:rPr>
        <w:t> </w:t>
      </w:r>
      <w:r>
        <w:rPr>
          <w:color w:val="57802E"/>
        </w:rPr>
        <w:t>dès</w:t>
      </w:r>
      <w:r>
        <w:rPr>
          <w:color w:val="57802E"/>
          <w:spacing w:val="27"/>
        </w:rPr>
        <w:t> </w:t>
      </w:r>
      <w:r>
        <w:rPr>
          <w:color w:val="57802E"/>
        </w:rPr>
        <w:t>l’achat</w:t>
      </w:r>
      <w:r>
        <w:rPr>
          <w:color w:val="57802E"/>
          <w:spacing w:val="27"/>
        </w:rPr>
        <w:t> </w:t>
      </w:r>
      <w:r>
        <w:rPr>
          <w:color w:val="57802E"/>
        </w:rPr>
        <w:t>et</w:t>
      </w:r>
      <w:r>
        <w:rPr>
          <w:color w:val="57802E"/>
          <w:spacing w:val="27"/>
        </w:rPr>
        <w:t> </w:t>
      </w:r>
      <w:r>
        <w:rPr>
          <w:color w:val="57802E"/>
        </w:rPr>
        <w:t>la</w:t>
      </w:r>
      <w:r>
        <w:rPr>
          <w:color w:val="57802E"/>
          <w:spacing w:val="27"/>
        </w:rPr>
        <w:t> </w:t>
      </w:r>
      <w:r>
        <w:rPr>
          <w:color w:val="57802E"/>
        </w:rPr>
        <w:t>préparation</w:t>
      </w:r>
      <w:r>
        <w:rPr>
          <w:color w:val="57802E"/>
          <w:spacing w:val="27"/>
        </w:rPr>
        <w:t> </w:t>
      </w:r>
      <w:r>
        <w:rPr>
          <w:color w:val="57802E"/>
        </w:rPr>
        <w:t>des</w:t>
      </w:r>
      <w:r>
        <w:rPr>
          <w:color w:val="57802E"/>
          <w:spacing w:val="28"/>
        </w:rPr>
        <w:t> </w:t>
      </w:r>
      <w:r>
        <w:rPr>
          <w:color w:val="57802E"/>
          <w:spacing w:val="-2"/>
        </w:rPr>
        <w:t>repas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470" w:val="left" w:leader="none"/>
        </w:tabs>
        <w:spacing w:line="232" w:lineRule="auto" w:before="59" w:after="0"/>
        <w:ind w:left="470" w:right="328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Assouplir les cahiers des charges </w:t>
      </w:r>
      <w:r>
        <w:rPr>
          <w:color w:val="1D1D1B"/>
          <w:sz w:val="18"/>
        </w:rPr>
        <w:t>avec les fournisseurs afin d’élargir la gamme de produits </w:t>
      </w:r>
      <w:r>
        <w:rPr>
          <w:color w:val="1D1D1B"/>
          <w:spacing w:val="-2"/>
          <w:sz w:val="18"/>
        </w:rPr>
        <w:t>commandés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32" w:lineRule="auto" w:before="58" w:after="0"/>
        <w:ind w:left="784" w:right="329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Intégrer les produits « moches », hors calibre ou abîmés aux commandes et à la </w:t>
      </w:r>
      <w:r>
        <w:rPr>
          <w:i/>
          <w:color w:val="1D1D1B"/>
          <w:sz w:val="18"/>
        </w:rPr>
        <w:t>préparation de repas</w:t>
      </w:r>
    </w:p>
    <w:p>
      <w:pPr>
        <w:pStyle w:val="ListParagraph"/>
        <w:numPr>
          <w:ilvl w:val="0"/>
          <w:numId w:val="1"/>
        </w:numPr>
        <w:tabs>
          <w:tab w:pos="468" w:val="left" w:leader="none"/>
          <w:tab w:pos="470" w:val="left" w:leader="none"/>
        </w:tabs>
        <w:spacing w:line="232" w:lineRule="auto" w:before="114" w:after="0"/>
        <w:ind w:left="470" w:right="328" w:hanging="141"/>
        <w:jc w:val="both"/>
        <w:rPr>
          <w:sz w:val="18"/>
        </w:rPr>
      </w:pPr>
      <w:r>
        <w:rPr>
          <w:rFonts w:ascii="Gotham" w:hAnsi="Gotham"/>
          <w:b/>
          <w:color w:val="1D1D1B"/>
          <w:spacing w:val="-2"/>
          <w:sz w:val="18"/>
        </w:rPr>
        <w:t>Modifier</w:t>
      </w:r>
      <w:r>
        <w:rPr>
          <w:rFonts w:ascii="Gotham" w:hAnsi="Gotham"/>
          <w:b/>
          <w:color w:val="1D1D1B"/>
          <w:spacing w:val="-10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les</w:t>
      </w:r>
      <w:r>
        <w:rPr>
          <w:rFonts w:ascii="Gotham" w:hAnsi="Gotham"/>
          <w:b/>
          <w:color w:val="1D1D1B"/>
          <w:spacing w:val="-10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procédés</w:t>
      </w:r>
      <w:r>
        <w:rPr>
          <w:rFonts w:ascii="Gotham" w:hAnsi="Gotham"/>
          <w:b/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pour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réduire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les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pertes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durant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la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préparation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de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repas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en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valorisant</w:t>
      </w:r>
      <w:r>
        <w:rPr>
          <w:color w:val="1D1D1B"/>
          <w:spacing w:val="-10"/>
          <w:sz w:val="18"/>
        </w:rPr>
        <w:t> </w:t>
      </w:r>
      <w:r>
        <w:rPr>
          <w:color w:val="1D1D1B"/>
          <w:spacing w:val="-2"/>
          <w:sz w:val="18"/>
        </w:rPr>
        <w:t>l’entièreté </w:t>
      </w:r>
      <w:r>
        <w:rPr>
          <w:color w:val="1D1D1B"/>
          <w:sz w:val="18"/>
        </w:rPr>
        <w:t>du produit et les coproduits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32" w:lineRule="auto" w:before="58" w:after="0"/>
        <w:ind w:left="784" w:right="329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Utilisation complète du produit brut, élaborer des menus en envisageant les réutilisations possibles, recettes à partir d’épluchures comestibles, etc.</w:t>
      </w:r>
    </w:p>
    <w:p>
      <w:pPr>
        <w:spacing w:line="240" w:lineRule="auto" w:before="105"/>
        <w:rPr>
          <w:i/>
          <w:sz w:val="18"/>
        </w:rPr>
      </w:pPr>
    </w:p>
    <w:p>
      <w:pPr>
        <w:pStyle w:val="Heading1"/>
        <w:spacing w:before="1"/>
      </w:pPr>
      <w:r>
        <w:rPr>
          <w:color w:val="57802E"/>
        </w:rPr>
        <w:t>Créer</w:t>
      </w:r>
      <w:r>
        <w:rPr>
          <w:color w:val="57802E"/>
          <w:spacing w:val="51"/>
        </w:rPr>
        <w:t> </w:t>
      </w:r>
      <w:r>
        <w:rPr>
          <w:color w:val="57802E"/>
        </w:rPr>
        <w:t>les</w:t>
      </w:r>
      <w:r>
        <w:rPr>
          <w:color w:val="57802E"/>
          <w:spacing w:val="54"/>
        </w:rPr>
        <w:t> </w:t>
      </w:r>
      <w:r>
        <w:rPr>
          <w:color w:val="57802E"/>
        </w:rPr>
        <w:t>conditions</w:t>
      </w:r>
      <w:r>
        <w:rPr>
          <w:color w:val="57802E"/>
          <w:spacing w:val="53"/>
        </w:rPr>
        <w:t> </w:t>
      </w:r>
      <w:r>
        <w:rPr>
          <w:color w:val="57802E"/>
        </w:rPr>
        <w:t>d’un</w:t>
      </w:r>
      <w:r>
        <w:rPr>
          <w:color w:val="57802E"/>
          <w:spacing w:val="54"/>
        </w:rPr>
        <w:t> </w:t>
      </w:r>
      <w:r>
        <w:rPr>
          <w:color w:val="57802E"/>
        </w:rPr>
        <w:t>service</w:t>
      </w:r>
      <w:r>
        <w:rPr>
          <w:color w:val="57802E"/>
          <w:spacing w:val="54"/>
        </w:rPr>
        <w:t> </w:t>
      </w:r>
      <w:r>
        <w:rPr>
          <w:color w:val="57802E"/>
        </w:rPr>
        <w:t>anti-</w:t>
      </w:r>
      <w:r>
        <w:rPr>
          <w:color w:val="57802E"/>
          <w:spacing w:val="-2"/>
        </w:rPr>
        <w:t>gaspi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53" w:after="0"/>
        <w:ind w:left="465" w:right="0" w:hanging="135"/>
        <w:jc w:val="left"/>
        <w:rPr>
          <w:sz w:val="18"/>
        </w:rPr>
      </w:pPr>
      <w:r>
        <w:rPr>
          <w:color w:val="1D1D1B"/>
          <w:sz w:val="18"/>
        </w:rPr>
        <w:t>Prendre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compte</w:t>
      </w:r>
      <w:r>
        <w:rPr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l’appétit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convives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adapter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service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3"/>
          <w:sz w:val="18"/>
        </w:rPr>
        <w:t> </w:t>
      </w:r>
      <w:r>
        <w:rPr>
          <w:color w:val="1D1D1B"/>
          <w:spacing w:val="-2"/>
          <w:sz w:val="18"/>
        </w:rPr>
        <w:t>conséquence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32" w:lineRule="auto" w:before="56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Proposer des assiettes de différentes tailles, encourager le dialogue avec les serveurs et les cuisiniers pour ajuster la quantité servie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32" w:lineRule="auto" w:before="58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Quand cela est possible, encourager le service autonome des convives (bar à entrées, bar à </w:t>
      </w:r>
      <w:r>
        <w:rPr>
          <w:i/>
          <w:color w:val="1D1D1B"/>
          <w:spacing w:val="-2"/>
          <w:sz w:val="18"/>
        </w:rPr>
        <w:t>desserts…)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109" w:after="0"/>
        <w:ind w:left="4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Proposer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manière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systématique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aux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convives</w:t>
      </w:r>
      <w:r>
        <w:rPr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d’emporter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leurs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restes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40" w:lineRule="auto" w:before="51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Mise</w:t>
      </w:r>
      <w:r>
        <w:rPr>
          <w:i/>
          <w:color w:val="1D1D1B"/>
          <w:spacing w:val="-6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disposition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d’emportes-</w:t>
      </w:r>
      <w:r>
        <w:rPr>
          <w:i/>
          <w:color w:val="1D1D1B"/>
          <w:spacing w:val="-2"/>
          <w:sz w:val="18"/>
        </w:rPr>
        <w:t>restes</w:t>
      </w:r>
    </w:p>
    <w:p>
      <w:pPr>
        <w:spacing w:line="240" w:lineRule="auto" w:before="164"/>
        <w:rPr>
          <w:i/>
          <w:sz w:val="18"/>
        </w:rPr>
      </w:pPr>
    </w:p>
    <w:p>
      <w:pPr>
        <w:pStyle w:val="Heading1"/>
      </w:pPr>
      <w:r>
        <w:rPr>
          <w:color w:val="57802E"/>
        </w:rPr>
        <w:t>Valoriser</w:t>
      </w:r>
      <w:r>
        <w:rPr>
          <w:color w:val="57802E"/>
          <w:spacing w:val="32"/>
        </w:rPr>
        <w:t> </w:t>
      </w:r>
      <w:r>
        <w:rPr>
          <w:color w:val="57802E"/>
        </w:rPr>
        <w:t>les</w:t>
      </w:r>
      <w:r>
        <w:rPr>
          <w:color w:val="57802E"/>
          <w:spacing w:val="35"/>
        </w:rPr>
        <w:t> </w:t>
      </w:r>
      <w:r>
        <w:rPr>
          <w:color w:val="57802E"/>
        </w:rPr>
        <w:t>repas</w:t>
      </w:r>
      <w:r>
        <w:rPr>
          <w:color w:val="57802E"/>
          <w:spacing w:val="35"/>
        </w:rPr>
        <w:t> </w:t>
      </w:r>
      <w:r>
        <w:rPr>
          <w:color w:val="57802E"/>
        </w:rPr>
        <w:t>qui</w:t>
      </w:r>
      <w:r>
        <w:rPr>
          <w:color w:val="57802E"/>
          <w:spacing w:val="34"/>
        </w:rPr>
        <w:t> </w:t>
      </w:r>
      <w:r>
        <w:rPr>
          <w:color w:val="57802E"/>
        </w:rPr>
        <w:t>n’ont</w:t>
      </w:r>
      <w:r>
        <w:rPr>
          <w:color w:val="57802E"/>
          <w:spacing w:val="35"/>
        </w:rPr>
        <w:t> </w:t>
      </w:r>
      <w:r>
        <w:rPr>
          <w:color w:val="57802E"/>
        </w:rPr>
        <w:t>pas</w:t>
      </w:r>
      <w:r>
        <w:rPr>
          <w:color w:val="57802E"/>
          <w:spacing w:val="35"/>
        </w:rPr>
        <w:t> </w:t>
      </w:r>
      <w:r>
        <w:rPr>
          <w:color w:val="57802E"/>
        </w:rPr>
        <w:t>été</w:t>
      </w:r>
      <w:r>
        <w:rPr>
          <w:color w:val="57802E"/>
          <w:spacing w:val="35"/>
        </w:rPr>
        <w:t> </w:t>
      </w:r>
      <w:r>
        <w:rPr>
          <w:color w:val="57802E"/>
          <w:spacing w:val="-2"/>
        </w:rPr>
        <w:t>servis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53" w:after="0"/>
        <w:ind w:left="4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Mettre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place</w:t>
      </w:r>
      <w:r>
        <w:rPr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solutions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pour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éviter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jeter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repas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non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servis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40" w:lineRule="auto" w:before="51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Plat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jour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issus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d’aliments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non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utilisés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transformation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plats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non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servis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40" w:lineRule="auto" w:before="51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Solution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vente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plats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non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servis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prix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réduits, </w:t>
      </w:r>
      <w:r>
        <w:rPr>
          <w:i/>
          <w:color w:val="1D1D1B"/>
          <w:spacing w:val="-4"/>
          <w:sz w:val="18"/>
        </w:rPr>
        <w:t>etc.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470" w:val="left" w:leader="none"/>
        </w:tabs>
        <w:spacing w:line="232" w:lineRule="auto" w:before="113" w:after="0"/>
        <w:ind w:left="470" w:right="328" w:hanging="141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Signer,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mesure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possible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capacités,</w:t>
      </w:r>
      <w:r>
        <w:rPr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une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convention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don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associations habilitées tout en veillant à la </w:t>
      </w:r>
      <w:r>
        <w:rPr>
          <w:rFonts w:ascii="Gotham" w:hAnsi="Gotham"/>
          <w:b/>
          <w:color w:val="1D1D1B"/>
          <w:sz w:val="18"/>
        </w:rPr>
        <w:t>qualité du don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40" w:lineRule="auto" w:before="52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Modèle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convention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disponible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site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Région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Île-de-</w:t>
      </w:r>
      <w:r>
        <w:rPr>
          <w:i/>
          <w:color w:val="1D1D1B"/>
          <w:spacing w:val="-2"/>
          <w:sz w:val="18"/>
        </w:rPr>
        <w:t>France.</w:t>
      </w:r>
    </w:p>
    <w:p>
      <w:pPr>
        <w:pStyle w:val="ListParagraph"/>
        <w:numPr>
          <w:ilvl w:val="1"/>
          <w:numId w:val="1"/>
        </w:numPr>
        <w:tabs>
          <w:tab w:pos="927" w:val="left" w:leader="none"/>
        </w:tabs>
        <w:spacing w:line="232" w:lineRule="auto" w:before="56" w:after="0"/>
        <w:ind w:left="784" w:right="329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Ne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donner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frais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abîmés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l’association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n’aurait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capacité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 redistribuer, veiller à l’équilibre nutritionnel des produits donnés, etc.</w:t>
      </w:r>
    </w:p>
    <w:p>
      <w:pPr>
        <w:spacing w:after="0" w:line="232" w:lineRule="auto"/>
        <w:jc w:val="left"/>
        <w:rPr>
          <w:sz w:val="18"/>
        </w:rPr>
        <w:sectPr>
          <w:pgSz w:w="11910" w:h="16840"/>
          <w:pgMar w:header="850" w:footer="650" w:top="1540" w:bottom="840" w:left="1200" w:right="1200"/>
        </w:sectPr>
      </w:pPr>
    </w:p>
    <w:p>
      <w:pPr>
        <w:pStyle w:val="Heading1"/>
        <w:spacing w:before="142"/>
      </w:pPr>
      <w:r>
        <w:rPr>
          <w:color w:val="57802E"/>
        </w:rPr>
        <w:t>Mesurer</w:t>
      </w:r>
      <w:r>
        <w:rPr>
          <w:color w:val="57802E"/>
          <w:spacing w:val="41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suivre</w:t>
      </w:r>
      <w:r>
        <w:rPr>
          <w:color w:val="57802E"/>
          <w:spacing w:val="44"/>
        </w:rPr>
        <w:t> </w:t>
      </w:r>
      <w:r>
        <w:rPr>
          <w:color w:val="57802E"/>
        </w:rPr>
        <w:t>les</w:t>
      </w:r>
      <w:r>
        <w:rPr>
          <w:color w:val="57802E"/>
          <w:spacing w:val="43"/>
        </w:rPr>
        <w:t> </w:t>
      </w:r>
      <w:r>
        <w:rPr>
          <w:color w:val="57802E"/>
        </w:rPr>
        <w:t>pertes</w:t>
      </w:r>
      <w:r>
        <w:rPr>
          <w:color w:val="57802E"/>
          <w:spacing w:val="44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gaspillages</w:t>
      </w:r>
      <w:r>
        <w:rPr>
          <w:color w:val="57802E"/>
          <w:spacing w:val="44"/>
        </w:rPr>
        <w:t> </w:t>
      </w:r>
      <w:r>
        <w:rPr>
          <w:color w:val="57802E"/>
          <w:spacing w:val="-2"/>
        </w:rPr>
        <w:t>alimentaires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470" w:val="left" w:leader="none"/>
        </w:tabs>
        <w:spacing w:line="232" w:lineRule="auto" w:before="58" w:after="0"/>
        <w:ind w:left="470" w:right="328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Mettre en place des actions de mesure </w:t>
      </w:r>
      <w:r>
        <w:rPr>
          <w:color w:val="1D1D1B"/>
          <w:sz w:val="18"/>
        </w:rPr>
        <w:t>pour quantifier les pertes afin d’identifier les produits les plus gaspillés</w:t>
      </w:r>
    </w:p>
    <w:p>
      <w:pPr>
        <w:pStyle w:val="ListParagraph"/>
        <w:numPr>
          <w:ilvl w:val="1"/>
          <w:numId w:val="1"/>
        </w:numPr>
        <w:tabs>
          <w:tab w:pos="924" w:val="left" w:leader="none"/>
        </w:tabs>
        <w:spacing w:line="232" w:lineRule="auto" w:before="58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Effectuer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pesées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diagnostics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réguliers,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établir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un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plan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d’action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ces gisements (fruits et légumes abîmés, produits frais…)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109" w:after="0"/>
        <w:ind w:left="46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Suivre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indicateurs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lien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potentiels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réduction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ciblés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déployées</w:t>
      </w:r>
    </w:p>
    <w:p>
      <w:pPr>
        <w:pStyle w:val="ListParagraph"/>
        <w:numPr>
          <w:ilvl w:val="1"/>
          <w:numId w:val="1"/>
        </w:numPr>
        <w:tabs>
          <w:tab w:pos="924" w:val="left" w:leader="none"/>
        </w:tabs>
        <w:spacing w:line="232" w:lineRule="auto" w:before="56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Évolution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taux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perte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produits,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dons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réalisés,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dates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courtes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remisés, identification des raisons des pertes (esthétisme, état du produit, conditionnement abîmé…)</w:t>
      </w:r>
    </w:p>
    <w:p>
      <w:pPr>
        <w:pStyle w:val="ListParagraph"/>
        <w:numPr>
          <w:ilvl w:val="1"/>
          <w:numId w:val="1"/>
        </w:numPr>
        <w:tabs>
          <w:tab w:pos="924" w:val="left" w:leader="none"/>
        </w:tabs>
        <w:spacing w:line="240" w:lineRule="auto" w:before="52" w:after="0"/>
        <w:ind w:left="92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Mettre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mesures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correctives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fonction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résultats</w:t>
      </w:r>
    </w:p>
    <w:p>
      <w:pPr>
        <w:spacing w:line="240" w:lineRule="auto" w:before="0"/>
        <w:rPr>
          <w:i/>
          <w:sz w:val="18"/>
        </w:rPr>
      </w:pPr>
    </w:p>
    <w:p>
      <w:pPr>
        <w:spacing w:line="240" w:lineRule="auto" w:before="155"/>
        <w:rPr>
          <w:i/>
          <w:sz w:val="18"/>
        </w:rPr>
      </w:pPr>
    </w:p>
    <w:p>
      <w:pPr>
        <w:pStyle w:val="Heading1"/>
        <w:spacing w:before="1"/>
      </w:pPr>
      <w:r>
        <w:rPr>
          <w:color w:val="57802E"/>
        </w:rPr>
        <w:t>Mettre</w:t>
      </w:r>
      <w:r>
        <w:rPr>
          <w:color w:val="57802E"/>
          <w:spacing w:val="36"/>
        </w:rPr>
        <w:t> </w:t>
      </w:r>
      <w:r>
        <w:rPr>
          <w:color w:val="57802E"/>
        </w:rPr>
        <w:t>en</w:t>
      </w:r>
      <w:r>
        <w:rPr>
          <w:color w:val="57802E"/>
          <w:spacing w:val="39"/>
        </w:rPr>
        <w:t> </w:t>
      </w:r>
      <w:r>
        <w:rPr>
          <w:color w:val="57802E"/>
        </w:rPr>
        <w:t>place</w:t>
      </w:r>
      <w:r>
        <w:rPr>
          <w:color w:val="57802E"/>
          <w:spacing w:val="39"/>
        </w:rPr>
        <w:t> </w:t>
      </w:r>
      <w:r>
        <w:rPr>
          <w:color w:val="57802E"/>
        </w:rPr>
        <w:t>le</w:t>
      </w:r>
      <w:r>
        <w:rPr>
          <w:color w:val="57802E"/>
          <w:spacing w:val="39"/>
        </w:rPr>
        <w:t> </w:t>
      </w:r>
      <w:r>
        <w:rPr>
          <w:color w:val="57802E"/>
        </w:rPr>
        <w:t>tri</w:t>
      </w:r>
      <w:r>
        <w:rPr>
          <w:color w:val="57802E"/>
          <w:spacing w:val="39"/>
        </w:rPr>
        <w:t> </w:t>
      </w:r>
      <w:r>
        <w:rPr>
          <w:color w:val="57802E"/>
        </w:rPr>
        <w:t>des</w:t>
      </w:r>
      <w:r>
        <w:rPr>
          <w:color w:val="57802E"/>
          <w:spacing w:val="39"/>
        </w:rPr>
        <w:t> </w:t>
      </w:r>
      <w:r>
        <w:rPr>
          <w:color w:val="57802E"/>
        </w:rPr>
        <w:t>biodéchets</w:t>
      </w:r>
      <w:r>
        <w:rPr>
          <w:color w:val="57802E"/>
          <w:spacing w:val="39"/>
        </w:rPr>
        <w:t> </w:t>
      </w:r>
      <w:r>
        <w:rPr>
          <w:color w:val="57802E"/>
        </w:rPr>
        <w:t>et</w:t>
      </w:r>
      <w:r>
        <w:rPr>
          <w:color w:val="57802E"/>
          <w:spacing w:val="39"/>
        </w:rPr>
        <w:t> </w:t>
      </w:r>
      <w:r>
        <w:rPr>
          <w:color w:val="57802E"/>
        </w:rPr>
        <w:t>leur</w:t>
      </w:r>
      <w:r>
        <w:rPr>
          <w:color w:val="57802E"/>
          <w:spacing w:val="39"/>
        </w:rPr>
        <w:t> </w:t>
      </w:r>
      <w:r>
        <w:rPr>
          <w:color w:val="57802E"/>
        </w:rPr>
        <w:t>valorisation</w:t>
      </w:r>
      <w:r>
        <w:rPr>
          <w:color w:val="57802E"/>
          <w:spacing w:val="39"/>
        </w:rPr>
        <w:t> </w:t>
      </w:r>
      <w:r>
        <w:rPr>
          <w:color w:val="57802E"/>
          <w:spacing w:val="-2"/>
        </w:rPr>
        <w:t>organique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470" w:val="left" w:leader="none"/>
        </w:tabs>
        <w:spacing w:line="232" w:lineRule="auto" w:before="58" w:after="0"/>
        <w:ind w:left="470" w:right="329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Trier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source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valoriser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biodéchets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color w:val="1D1D1B"/>
          <w:sz w:val="18"/>
        </w:rPr>
        <w:t>qui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ne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peuvent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être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évités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(valorisation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animale, compost, méthanisation)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0"/>
        <w:rPr>
          <w:sz w:val="18"/>
        </w:rPr>
      </w:pPr>
    </w:p>
    <w:p>
      <w:pPr>
        <w:spacing w:line="530" w:lineRule="auto" w:before="0"/>
        <w:ind w:left="330" w:right="2984" w:firstLine="0"/>
        <w:jc w:val="left"/>
        <w:rPr>
          <w:sz w:val="18"/>
        </w:rPr>
      </w:pPr>
      <w:r>
        <w:rPr>
          <w:color w:val="1D1D1B"/>
          <w:sz w:val="18"/>
        </w:rPr>
        <w:t>Fait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…………………………………………………………………..…………………………………..…….. Le ……………………………..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4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1910" w:h="16840"/>
          <w:pgMar w:header="850" w:footer="650" w:top="1540" w:bottom="840" w:left="1200" w:right="1200"/>
        </w:sectPr>
      </w:pPr>
    </w:p>
    <w:p>
      <w:pPr>
        <w:spacing w:line="232" w:lineRule="auto" w:before="105"/>
        <w:ind w:left="1010" w:right="38" w:firstLine="0"/>
        <w:jc w:val="left"/>
        <w:rPr>
          <w:sz w:val="18"/>
        </w:rPr>
      </w:pPr>
      <w:r>
        <w:rPr>
          <w:color w:val="1D1D1B"/>
          <w:sz w:val="18"/>
        </w:rPr>
        <w:t>Nom représentant </w:t>
      </w:r>
      <w:r>
        <w:rPr>
          <w:color w:val="1D1D1B"/>
          <w:spacing w:val="-2"/>
          <w:sz w:val="18"/>
        </w:rPr>
        <w:t>restauration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commerciale</w:t>
      </w:r>
    </w:p>
    <w:p>
      <w:pPr>
        <w:spacing w:line="232" w:lineRule="auto" w:before="105"/>
        <w:ind w:left="1010" w:right="2697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Nom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1910" w:h="16840"/>
          <w:pgMar w:header="850" w:footer="650" w:top="1540" w:bottom="840" w:left="1200" w:right="1200"/>
          <w:cols w:num="2" w:equalWidth="0">
            <w:col w:w="3318" w:space="849"/>
            <w:col w:w="5343"/>
          </w:cols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0"/>
        <w:rPr>
          <w:sz w:val="18"/>
        </w:rPr>
      </w:pPr>
    </w:p>
    <w:p>
      <w:pPr>
        <w:tabs>
          <w:tab w:pos="5177" w:val="left" w:leader="none"/>
        </w:tabs>
        <w:spacing w:before="0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Signature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  <w:r>
        <w:rPr>
          <w:color w:val="1D1D1B"/>
          <w:sz w:val="18"/>
        </w:rPr>
        <w:tab/>
        <w:t>Signature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9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header="850" w:footer="650" w:top="1540" w:bottom="840" w:left="1200" w:right="1200"/>
        </w:sectPr>
      </w:pPr>
    </w:p>
    <w:p>
      <w:pPr>
        <w:spacing w:before="99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Fonction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pacing w:val="-2"/>
          <w:sz w:val="18"/>
        </w:rPr>
        <w:t>représentant</w:t>
      </w:r>
    </w:p>
    <w:p>
      <w:pPr>
        <w:spacing w:line="213" w:lineRule="exact" w:before="51"/>
        <w:ind w:left="1064" w:right="0" w:firstLine="0"/>
        <w:jc w:val="left"/>
        <w:rPr>
          <w:sz w:val="18"/>
        </w:rPr>
      </w:pPr>
      <w:r>
        <w:rPr>
          <w:color w:val="1D1D1B"/>
          <w:sz w:val="18"/>
        </w:rPr>
        <w:t>+ Nom </w:t>
      </w:r>
      <w:r>
        <w:rPr>
          <w:color w:val="1D1D1B"/>
          <w:spacing w:val="-2"/>
          <w:sz w:val="18"/>
        </w:rPr>
        <w:t>établissement</w:t>
      </w:r>
    </w:p>
    <w:p>
      <w:pPr>
        <w:spacing w:line="213" w:lineRule="exact" w:before="0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avec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restauration</w:t>
      </w:r>
      <w:r>
        <w:rPr>
          <w:color w:val="1D1D1B"/>
          <w:spacing w:val="-11"/>
          <w:sz w:val="18"/>
        </w:rPr>
        <w:t> </w:t>
      </w:r>
      <w:r>
        <w:rPr>
          <w:color w:val="1D1D1B"/>
          <w:spacing w:val="-2"/>
          <w:sz w:val="18"/>
        </w:rPr>
        <w:t>commerciale</w:t>
      </w:r>
    </w:p>
    <w:p>
      <w:pPr>
        <w:spacing w:line="295" w:lineRule="auto" w:before="99"/>
        <w:ind w:left="1010" w:right="2331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Fonction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sectPr>
      <w:type w:val="continuous"/>
      <w:pgSz w:w="11910" w:h="16840"/>
      <w:pgMar w:header="850" w:footer="650" w:top="1540" w:bottom="840" w:left="1200" w:right="1200"/>
      <w:cols w:num="2" w:equalWidth="0">
        <w:col w:w="3782" w:space="385"/>
        <w:col w:w="53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otham">
    <w:altName w:val="Gotham"/>
    <w:charset w:val="0"/>
    <w:family w:val="roman"/>
    <w:pitch w:val="variable"/>
  </w:font>
  <w:font w:name="Bebas Neue">
    <w:altName w:val="Bebas Neue"/>
    <w:charset w:val="0"/>
    <w:family w:val="roman"/>
    <w:pitch w:val="variable"/>
  </w:font>
  <w:font w:name="Gotham Book">
    <w:altName w:val="Gotham Book"/>
    <w:charset w:val="0"/>
    <w:family w:val="roman"/>
    <w:pitch w:val="variable"/>
  </w:font>
  <w:font w:name="Gotham-Ultra">
    <w:altName w:val="Gotham-Ultr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7968">
              <wp:simplePos x="0" y="0"/>
              <wp:positionH relativeFrom="page">
                <wp:posOffset>647999</wp:posOffset>
              </wp:positionH>
              <wp:positionV relativeFrom="page">
                <wp:posOffset>10160984</wp:posOffset>
              </wp:positionV>
              <wp:extent cx="6264275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62642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64275" h="0">
                            <a:moveTo>
                              <a:pt x="0" y="0"/>
                            </a:moveTo>
                            <a:lnTo>
                              <a:pt x="6263995" y="0"/>
                            </a:lnTo>
                          </a:path>
                        </a:pathLst>
                      </a:custGeom>
                      <a:ln w="17957">
                        <a:solidFill>
                          <a:srgbClr val="9AAE56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8512" from="51.023602pt,800.077515pt" to="544.251602pt,800.077515pt" stroked="true" strokeweight="1.414pt" strokecolor="#9aae56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8480">
              <wp:simplePos x="0" y="0"/>
              <wp:positionH relativeFrom="page">
                <wp:posOffset>2215224</wp:posOffset>
              </wp:positionH>
              <wp:positionV relativeFrom="page">
                <wp:posOffset>10229344</wp:posOffset>
              </wp:positionV>
              <wp:extent cx="3168015" cy="1238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168015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Gotham" w:hAnsi="Gotham"/>
                              <w:b/>
                              <w:sz w:val="14"/>
                            </w:rPr>
                          </w:pP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Luttons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tous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contre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gaspillage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alimentaire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la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Région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s’engage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•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instrText> PAGE </w:instrTex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4.427094pt;margin-top:805.460205pt;width:249.45pt;height:9.75pt;mso-position-horizontal-relative:page;mso-position-vertical-relative:page;z-index:-15808000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Gotham" w:hAnsi="Gotham"/>
                        <w:b/>
                        <w:sz w:val="14"/>
                      </w:rPr>
                    </w:pP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Luttons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4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tous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contre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gaspillage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alimentaire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: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la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Région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s’engage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•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instrText> PAGE </w:instrTex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t>2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7456">
              <wp:simplePos x="0" y="0"/>
              <wp:positionH relativeFrom="page">
                <wp:posOffset>2880004</wp:posOffset>
              </wp:positionH>
              <wp:positionV relativeFrom="page">
                <wp:posOffset>540004</wp:posOffset>
              </wp:positionV>
              <wp:extent cx="1800225" cy="21653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1800225" cy="2165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00225" h="216535">
                            <a:moveTo>
                              <a:pt x="1799996" y="0"/>
                            </a:moveTo>
                            <a:lnTo>
                              <a:pt x="0" y="0"/>
                            </a:lnTo>
                            <a:lnTo>
                              <a:pt x="0" y="216001"/>
                            </a:lnTo>
                            <a:lnTo>
                              <a:pt x="1799996" y="216001"/>
                            </a:lnTo>
                            <a:lnTo>
                              <a:pt x="1799996" y="0"/>
                            </a:lnTo>
                            <a:close/>
                          </a:path>
                        </a:pathLst>
                      </a:custGeom>
                      <a:solidFill>
                        <a:srgbClr val="57802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226.772003pt;margin-top:42.520016pt;width:141.732pt;height:17.008pt;mso-position-horizontal-relative:page;mso-position-vertical-relative:page;z-index:-15809024" id="docshape1" filled="true" fillcolor="#57802e" stroked="false">
              <v:fill type="solid"/>
              <w10:wrap type="none"/>
            </v: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7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39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3A7CBF"/>
        <w:spacing w:val="0"/>
        <w:w w:val="96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20" w:hanging="139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93" w:hanging="139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066" w:hanging="139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139" w:hanging="139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212" w:hanging="139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285" w:hanging="139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359" w:hanging="139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otham Book" w:hAnsi="Gotham Book" w:eastAsia="Gotham Book" w:cs="Gotham Book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otham Book" w:hAnsi="Gotham Book" w:eastAsia="Gotham Book" w:cs="Gotham Book"/>
      <w:i/>
      <w:iCs/>
      <w:sz w:val="18"/>
      <w:szCs w:val="18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330"/>
      <w:outlineLvl w:val="1"/>
    </w:pPr>
    <w:rPr>
      <w:rFonts w:ascii="Bebas Neue" w:hAnsi="Bebas Neue" w:eastAsia="Bebas Neue" w:cs="Bebas Neue"/>
      <w:b/>
      <w:bCs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588" w:hanging="479"/>
    </w:pPr>
    <w:rPr>
      <w:rFonts w:ascii="Bebas Neue" w:hAnsi="Bebas Neue" w:eastAsia="Bebas Neue" w:cs="Bebas Neue"/>
      <w:b/>
      <w:bCs/>
      <w:sz w:val="64"/>
      <w:szCs w:val="6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58"/>
      <w:ind w:left="784"/>
    </w:pPr>
    <w:rPr>
      <w:rFonts w:ascii="Gotham Book" w:hAnsi="Gotham Book" w:eastAsia="Gotham Book" w:cs="Gotham Book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2024-05-08T10:10:13Z</dcterms:created>
  <dcterms:modified xsi:type="dcterms:W3CDTF">2024-05-08T10:10:13Z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2024-05-08T00:00:00Z</vt:filetime>
  </property>
  <property fmtid="{D5CDD505-2E9C-101B-9397-08002B2CF9AE}" pid="5" name="Producer">
    <vt:lpwstr>Adobe PDF Library 17.0</vt:lpwstr>
  </property>
</Properties>
</file>